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D1" w:rsidRDefault="007F6E64" w:rsidP="005D4796">
      <w:pPr>
        <w:autoSpaceDE/>
        <w:autoSpaceDN/>
        <w:ind w:firstLine="709"/>
        <w:jc w:val="center"/>
        <w:rPr>
          <w:rFonts w:eastAsia="Calibri"/>
          <w:b/>
          <w:lang w:eastAsia="en-US"/>
        </w:rPr>
      </w:pPr>
      <w:r>
        <w:rPr>
          <w:noProof/>
          <w:lang w:val="ru-RU"/>
        </w:rPr>
        <w:drawing>
          <wp:inline distT="0" distB="0" distL="0" distR="0">
            <wp:extent cx="2607945" cy="863600"/>
            <wp:effectExtent l="0" t="0" r="1905" b="0"/>
            <wp:docPr id="1" name="Рисунок 1" descr="C:\Users\ypavlov\Desktop\CI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ypavlov\Desktop\CIB_logo.png"/>
                    <pic:cNvPicPr>
                      <a:picLocks noChangeAspect="1" noChangeArrowheads="1"/>
                    </pic:cNvPicPr>
                  </pic:nvPicPr>
                  <pic:blipFill>
                    <a:blip r:embed="rId5"/>
                    <a:srcRect/>
                    <a:stretch>
                      <a:fillRect/>
                    </a:stretch>
                  </pic:blipFill>
                  <pic:spPr bwMode="auto">
                    <a:xfrm>
                      <a:off x="0" y="0"/>
                      <a:ext cx="2607945" cy="863600"/>
                    </a:xfrm>
                    <a:prstGeom prst="rect">
                      <a:avLst/>
                    </a:prstGeom>
                    <a:noFill/>
                    <a:ln w="9525">
                      <a:noFill/>
                      <a:miter lim="800000"/>
                      <a:headEnd/>
                      <a:tailEnd/>
                    </a:ln>
                  </pic:spPr>
                </pic:pic>
              </a:graphicData>
            </a:graphic>
          </wp:inline>
        </w:drawing>
      </w:r>
    </w:p>
    <w:p w:rsidR="00F72BD1" w:rsidRDefault="00F72BD1" w:rsidP="00F72BD1">
      <w:pPr>
        <w:autoSpaceDE/>
        <w:autoSpaceDN/>
        <w:ind w:firstLine="709"/>
        <w:jc w:val="both"/>
        <w:rPr>
          <w:rFonts w:eastAsia="Calibri"/>
          <w:b/>
          <w:lang w:eastAsia="en-US"/>
        </w:rPr>
      </w:pPr>
    </w:p>
    <w:p w:rsidR="002440DC" w:rsidRDefault="002440DC" w:rsidP="002440DC">
      <w:pPr>
        <w:autoSpaceDE/>
        <w:autoSpaceDN/>
        <w:rPr>
          <w:rFonts w:eastAsia="Calibri"/>
          <w:b/>
          <w:lang w:eastAsia="en-US"/>
        </w:rPr>
      </w:pPr>
      <w:r>
        <w:rPr>
          <w:rFonts w:eastAsia="Calibri"/>
          <w:b/>
          <w:lang w:eastAsia="en-US"/>
        </w:rPr>
        <w:t xml:space="preserve">Щодо запровадження міжнародного номера </w:t>
      </w:r>
    </w:p>
    <w:p w:rsidR="002440DC" w:rsidRDefault="002440DC" w:rsidP="002440DC">
      <w:pPr>
        <w:autoSpaceDE/>
        <w:autoSpaceDN/>
        <w:rPr>
          <w:rFonts w:eastAsia="Calibri"/>
          <w:b/>
          <w:lang w:eastAsia="en-US"/>
        </w:rPr>
      </w:pPr>
      <w:r>
        <w:rPr>
          <w:rFonts w:eastAsia="Calibri"/>
          <w:b/>
          <w:lang w:eastAsia="en-US"/>
        </w:rPr>
        <w:t xml:space="preserve">банківського рахунку </w:t>
      </w:r>
      <w:r>
        <w:rPr>
          <w:rFonts w:eastAsia="Calibri"/>
          <w:b/>
          <w:lang w:val="en-US" w:eastAsia="en-US"/>
        </w:rPr>
        <w:t>IBAN</w:t>
      </w:r>
      <w:r>
        <w:rPr>
          <w:rFonts w:eastAsia="Calibri"/>
          <w:b/>
          <w:lang w:eastAsia="en-US"/>
        </w:rPr>
        <w:t xml:space="preserve"> в Україні</w:t>
      </w:r>
    </w:p>
    <w:p w:rsidR="002440DC" w:rsidRDefault="002440DC" w:rsidP="002440DC">
      <w:pPr>
        <w:autoSpaceDE/>
        <w:autoSpaceDN/>
        <w:rPr>
          <w:rFonts w:eastAsia="Calibri"/>
          <w:b/>
          <w:lang w:eastAsia="en-US"/>
        </w:rPr>
      </w:pPr>
    </w:p>
    <w:p w:rsidR="005A11ED" w:rsidRDefault="002440DC" w:rsidP="005D4796">
      <w:pPr>
        <w:autoSpaceDE/>
        <w:autoSpaceDN/>
        <w:ind w:firstLine="709"/>
        <w:jc w:val="both"/>
        <w:rPr>
          <w:rFonts w:eastAsia="Calibri"/>
          <w:lang w:eastAsia="en-US"/>
        </w:rPr>
      </w:pPr>
      <w:r w:rsidRPr="002440DC">
        <w:rPr>
          <w:rFonts w:eastAsia="Calibri"/>
          <w:lang w:eastAsia="en-US"/>
        </w:rPr>
        <w:t xml:space="preserve">Національний банк України повідомляє, що </w:t>
      </w:r>
      <w:r w:rsidRPr="002440DC">
        <w:rPr>
          <w:rFonts w:eastAsia="Calibri"/>
          <w:b/>
          <w:lang w:eastAsia="en-US"/>
        </w:rPr>
        <w:t>з 05 серпня 2019 року</w:t>
      </w:r>
      <w:r w:rsidRPr="002440DC">
        <w:rPr>
          <w:rFonts w:eastAsia="Calibri"/>
          <w:lang w:eastAsia="en-US"/>
        </w:rPr>
        <w:t xml:space="preserve"> в Україні запроваджується міжнародний номер банківського рахунку (</w:t>
      </w:r>
      <w:r w:rsidRPr="002440DC">
        <w:rPr>
          <w:rFonts w:eastAsia="Calibri"/>
          <w:lang w:val="en-US" w:eastAsia="en-US"/>
        </w:rPr>
        <w:t>IBAN</w:t>
      </w:r>
      <w:r w:rsidRPr="002440DC">
        <w:rPr>
          <w:rFonts w:eastAsia="Calibri"/>
          <w:lang w:eastAsia="en-US"/>
        </w:rPr>
        <w:t>), який  складається з 29 літерно-цифрових символів. У зв’язку з цим, пропонуємо Вам ознайомитись із Пам’яткою для клієнтів, підгот</w:t>
      </w:r>
      <w:r w:rsidR="005D4796">
        <w:rPr>
          <w:rFonts w:eastAsia="Calibri"/>
          <w:lang w:eastAsia="en-US"/>
        </w:rPr>
        <w:t>ованою</w:t>
      </w:r>
      <w:r w:rsidRPr="002440DC">
        <w:rPr>
          <w:rFonts w:eastAsia="Calibri"/>
          <w:lang w:eastAsia="en-US"/>
        </w:rPr>
        <w:t xml:space="preserve"> НБУ</w:t>
      </w:r>
      <w:r w:rsidR="005A11ED">
        <w:rPr>
          <w:rFonts w:eastAsia="Calibri"/>
          <w:lang w:eastAsia="en-US"/>
        </w:rPr>
        <w:t>.</w:t>
      </w:r>
    </w:p>
    <w:p w:rsidR="005A11ED" w:rsidRPr="005D4796" w:rsidRDefault="005A11ED" w:rsidP="005A11ED">
      <w:pPr>
        <w:autoSpaceDE/>
        <w:autoSpaceDN/>
        <w:ind w:firstLine="709"/>
        <w:rPr>
          <w:rFonts w:eastAsia="Calibri"/>
          <w:u w:val="single"/>
          <w:lang w:eastAsia="en-US"/>
        </w:rPr>
      </w:pPr>
      <w:r>
        <w:rPr>
          <w:rFonts w:eastAsia="Calibri"/>
          <w:lang w:eastAsia="en-US"/>
        </w:rPr>
        <w:t xml:space="preserve"> </w:t>
      </w:r>
    </w:p>
    <w:p w:rsidR="005A11ED" w:rsidRPr="005D4796" w:rsidRDefault="005A11ED" w:rsidP="005A11ED">
      <w:pPr>
        <w:autoSpaceDE/>
        <w:autoSpaceDN/>
        <w:ind w:firstLine="709"/>
        <w:jc w:val="center"/>
        <w:rPr>
          <w:rFonts w:eastAsia="Calibri"/>
          <w:u w:val="single"/>
          <w:lang w:eastAsia="en-US"/>
        </w:rPr>
      </w:pPr>
      <w:r w:rsidRPr="005D4796">
        <w:rPr>
          <w:rFonts w:eastAsia="Calibri"/>
          <w:b/>
          <w:u w:val="single"/>
          <w:lang w:eastAsia="en-US"/>
        </w:rPr>
        <w:t>ПАМЯТКА ДЛЯ КЛІЄНТІВ</w:t>
      </w:r>
    </w:p>
    <w:p w:rsidR="00F72BD1" w:rsidRPr="00F72BD1" w:rsidRDefault="00F72BD1" w:rsidP="00F72BD1">
      <w:pPr>
        <w:autoSpaceDE/>
        <w:autoSpaceDN/>
        <w:ind w:firstLine="709"/>
        <w:jc w:val="both"/>
        <w:rPr>
          <w:rFonts w:eastAsia="Calibri"/>
          <w:b/>
          <w:lang w:eastAsia="en-US"/>
        </w:rPr>
      </w:pPr>
      <w:r w:rsidRPr="00F72BD1">
        <w:rPr>
          <w:rFonts w:eastAsia="Calibri"/>
          <w:b/>
          <w:lang w:eastAsia="en-US"/>
        </w:rPr>
        <w:t>І. Клієнти банків:</w:t>
      </w:r>
    </w:p>
    <w:p w:rsidR="00F72BD1" w:rsidRPr="00F72BD1" w:rsidRDefault="00F72BD1" w:rsidP="00F72BD1">
      <w:pPr>
        <w:tabs>
          <w:tab w:val="left" w:pos="993"/>
        </w:tabs>
        <w:autoSpaceDE/>
        <w:autoSpaceDN/>
        <w:ind w:firstLine="709"/>
        <w:jc w:val="both"/>
        <w:rPr>
          <w:rFonts w:eastAsia="Calibri"/>
          <w:lang w:eastAsia="en-US"/>
        </w:rPr>
      </w:pPr>
      <w:r w:rsidRPr="00F72BD1">
        <w:rPr>
          <w:rFonts w:eastAsia="Calibri"/>
          <w:lang w:eastAsia="en-US"/>
        </w:rPr>
        <w:t>1)</w:t>
      </w:r>
      <w:r w:rsidRPr="00F72BD1">
        <w:rPr>
          <w:rFonts w:eastAsia="Calibri"/>
          <w:lang w:eastAsia="en-US"/>
        </w:rPr>
        <w:tab/>
        <w:t xml:space="preserve"> з 05 серпня 2019 року:</w:t>
      </w:r>
    </w:p>
    <w:p w:rsidR="00F72BD1" w:rsidRPr="00F72BD1" w:rsidRDefault="00F72BD1" w:rsidP="00F72BD1">
      <w:pPr>
        <w:autoSpaceDE/>
        <w:autoSpaceDN/>
        <w:ind w:firstLine="709"/>
        <w:jc w:val="both"/>
        <w:rPr>
          <w:rFonts w:eastAsia="Calibri"/>
          <w:lang w:eastAsia="en-US"/>
        </w:rPr>
      </w:pPr>
      <w:r w:rsidRPr="00F72BD1">
        <w:rPr>
          <w:rFonts w:eastAsia="Calibri"/>
          <w:lang w:eastAsia="en-US"/>
        </w:rPr>
        <w:t xml:space="preserve">отримуватимуть від банку інформацію про зміну діючого рахунку за стандартом IBAN для інформування своїх контрагентів та зазначення у розрахункових документах. </w:t>
      </w:r>
    </w:p>
    <w:p w:rsidR="00F72BD1" w:rsidRPr="00F72BD1" w:rsidRDefault="00F72BD1" w:rsidP="00F72BD1">
      <w:pPr>
        <w:autoSpaceDE/>
        <w:autoSpaceDN/>
        <w:ind w:firstLine="709"/>
        <w:jc w:val="both"/>
        <w:rPr>
          <w:rFonts w:eastAsia="Calibri"/>
          <w:lang w:eastAsia="en-US"/>
        </w:rPr>
      </w:pPr>
      <w:r w:rsidRPr="00F72BD1">
        <w:rPr>
          <w:rFonts w:eastAsia="Calibri"/>
          <w:lang w:eastAsia="en-US"/>
        </w:rPr>
        <w:t>При цьому, зміна діючого номера рахунку за стандартом  IBAN не призводить до зміни положень договору (договору банківського рахунку/розрахунково-касового обслуговування/банківського вкладу тощо);</w:t>
      </w:r>
    </w:p>
    <w:p w:rsidR="00F72BD1" w:rsidRPr="00F72BD1" w:rsidRDefault="00F72BD1" w:rsidP="00F72BD1">
      <w:pPr>
        <w:tabs>
          <w:tab w:val="left" w:pos="993"/>
        </w:tabs>
        <w:autoSpaceDE/>
        <w:autoSpaceDN/>
        <w:ind w:firstLine="709"/>
        <w:jc w:val="both"/>
        <w:rPr>
          <w:rFonts w:eastAsia="Calibri"/>
          <w:lang w:eastAsia="en-US"/>
        </w:rPr>
      </w:pPr>
      <w:r w:rsidRPr="00F72BD1">
        <w:rPr>
          <w:rFonts w:eastAsia="Calibri"/>
          <w:lang w:eastAsia="en-US"/>
        </w:rPr>
        <w:t>2)</w:t>
      </w:r>
      <w:r w:rsidRPr="00F72BD1">
        <w:rPr>
          <w:rFonts w:eastAsia="Calibri"/>
          <w:lang w:eastAsia="en-US"/>
        </w:rPr>
        <w:tab/>
        <w:t xml:space="preserve">з 05 серпня 2019 до 31 жовтня 2019 року у документах на переказ коштів можуть заповнювати реквізити “Код банку” та “Рахунок” у будь - яких варіаціях. </w:t>
      </w:r>
    </w:p>
    <w:p w:rsidR="00F72BD1" w:rsidRPr="00F72BD1" w:rsidRDefault="00F72BD1" w:rsidP="00F72BD1">
      <w:pPr>
        <w:autoSpaceDE/>
        <w:autoSpaceDN/>
        <w:ind w:firstLine="709"/>
        <w:jc w:val="both"/>
        <w:rPr>
          <w:rFonts w:eastAsia="Calibri"/>
          <w:lang w:eastAsia="en-US"/>
        </w:rPr>
      </w:pPr>
      <w:r w:rsidRPr="00F72BD1">
        <w:rPr>
          <w:rFonts w:eastAsia="Calibri"/>
          <w:lang w:eastAsia="en-US"/>
        </w:rPr>
        <w:t>Так, в документах на переказ коштів в реквізитах платника/отримувача, можуть заповнювати як пару реквізитів (номер рахунку платника/отримувача та код банку платника/отримувача), так і номер рахунку платника/отримувача за стандартом IBAN. У разі заповнення номера рахунку платника/отримувача за стандартом IBAN, у реквізиті “Код банку платника/отримувача” зазначатимуть нуль;</w:t>
      </w:r>
    </w:p>
    <w:p w:rsidR="00F72BD1" w:rsidRPr="00F72BD1" w:rsidRDefault="00F72BD1" w:rsidP="00F72BD1">
      <w:pPr>
        <w:tabs>
          <w:tab w:val="left" w:pos="426"/>
          <w:tab w:val="left" w:pos="709"/>
          <w:tab w:val="left" w:pos="993"/>
        </w:tabs>
        <w:autoSpaceDE/>
        <w:autoSpaceDN/>
        <w:ind w:firstLine="709"/>
        <w:jc w:val="both"/>
        <w:rPr>
          <w:rFonts w:eastAsia="Calibri"/>
          <w:lang w:eastAsia="en-US"/>
        </w:rPr>
      </w:pPr>
      <w:r w:rsidRPr="00F72BD1">
        <w:rPr>
          <w:rFonts w:eastAsia="Calibri"/>
          <w:lang w:eastAsia="en-US"/>
        </w:rPr>
        <w:t>3)</w:t>
      </w:r>
      <w:r w:rsidRPr="00F72BD1">
        <w:rPr>
          <w:rFonts w:eastAsia="Calibri"/>
          <w:lang w:eastAsia="en-US"/>
        </w:rPr>
        <w:tab/>
        <w:t xml:space="preserve"> з 01 листопада 2019 року у реквізиті розрахункового документа “Рахунок” зазначатимуть номер рахунку платника/отримувача тільки за стандартом IBAN.</w:t>
      </w:r>
    </w:p>
    <w:p w:rsidR="005D4796" w:rsidRDefault="005D4796" w:rsidP="00F72BD1">
      <w:pPr>
        <w:autoSpaceDE/>
        <w:autoSpaceDN/>
        <w:ind w:firstLine="709"/>
        <w:jc w:val="both"/>
        <w:rPr>
          <w:rFonts w:eastAsia="Calibri"/>
          <w:b/>
          <w:lang w:eastAsia="en-US"/>
        </w:rPr>
      </w:pPr>
    </w:p>
    <w:p w:rsidR="00F72BD1" w:rsidRPr="00F72BD1" w:rsidRDefault="00F72BD1" w:rsidP="00F72BD1">
      <w:pPr>
        <w:autoSpaceDE/>
        <w:autoSpaceDN/>
        <w:ind w:firstLine="709"/>
        <w:jc w:val="both"/>
        <w:rPr>
          <w:rFonts w:eastAsia="Calibri"/>
          <w:b/>
          <w:lang w:eastAsia="en-US"/>
        </w:rPr>
      </w:pPr>
      <w:r w:rsidRPr="00F72BD1">
        <w:rPr>
          <w:rFonts w:eastAsia="Calibri"/>
          <w:b/>
          <w:lang w:eastAsia="en-US"/>
        </w:rPr>
        <w:t>Банки України:</w:t>
      </w:r>
    </w:p>
    <w:p w:rsidR="00F72BD1" w:rsidRPr="00F72BD1" w:rsidRDefault="00F72BD1" w:rsidP="00F72BD1">
      <w:pPr>
        <w:tabs>
          <w:tab w:val="left" w:pos="993"/>
        </w:tabs>
        <w:autoSpaceDE/>
        <w:autoSpaceDN/>
        <w:ind w:firstLine="709"/>
        <w:jc w:val="both"/>
        <w:rPr>
          <w:rFonts w:eastAsia="Calibri"/>
          <w:lang w:eastAsia="en-US"/>
        </w:rPr>
      </w:pPr>
      <w:r w:rsidRPr="00F72BD1">
        <w:rPr>
          <w:rFonts w:eastAsia="Calibri"/>
          <w:lang w:eastAsia="en-US"/>
        </w:rPr>
        <w:t>1)</w:t>
      </w:r>
      <w:r w:rsidRPr="00F72BD1">
        <w:rPr>
          <w:rFonts w:eastAsia="Calibri"/>
          <w:lang w:eastAsia="en-US"/>
        </w:rPr>
        <w:tab/>
        <w:t>з 05 серпня 2019 до 31 жовтня 2019 року:</w:t>
      </w:r>
    </w:p>
    <w:p w:rsidR="00F72BD1" w:rsidRPr="00F72BD1" w:rsidRDefault="00F72BD1" w:rsidP="00F72BD1">
      <w:pPr>
        <w:tabs>
          <w:tab w:val="left" w:pos="709"/>
          <w:tab w:val="left" w:pos="851"/>
        </w:tabs>
        <w:autoSpaceDE/>
        <w:autoSpaceDN/>
        <w:ind w:firstLine="709"/>
        <w:jc w:val="both"/>
        <w:rPr>
          <w:rFonts w:eastAsia="Calibri"/>
          <w:lang w:eastAsia="en-US"/>
        </w:rPr>
      </w:pPr>
      <w:r w:rsidRPr="00F72BD1">
        <w:rPr>
          <w:rFonts w:eastAsia="Calibri"/>
          <w:lang w:eastAsia="en-US"/>
        </w:rPr>
        <w:t>прийматимуть до виконання документи на переказ коштів/ зараховуватимуть кошти на рахунок отримувача за реквізитами, варіації заповнення  яких вибрав клієнт-платник;</w:t>
      </w:r>
    </w:p>
    <w:p w:rsidR="00F72BD1" w:rsidRPr="00F72BD1" w:rsidRDefault="00F72BD1" w:rsidP="00F72BD1">
      <w:pPr>
        <w:autoSpaceDE/>
        <w:autoSpaceDN/>
        <w:ind w:firstLine="709"/>
        <w:jc w:val="both"/>
        <w:rPr>
          <w:rFonts w:eastAsia="Calibri"/>
          <w:lang w:eastAsia="en-US"/>
        </w:rPr>
      </w:pPr>
      <w:r w:rsidRPr="00F72BD1">
        <w:rPr>
          <w:rFonts w:eastAsia="Calibri"/>
          <w:lang w:eastAsia="en-US"/>
        </w:rPr>
        <w:t>повідомлятимуть контролюючі органи про зміну діючих рахунків клієнтів-суб’єктів господарювання за стандартом IBAN;</w:t>
      </w:r>
    </w:p>
    <w:p w:rsidR="00F72BD1" w:rsidRPr="00F72BD1" w:rsidRDefault="00F72BD1" w:rsidP="00F72BD1">
      <w:pPr>
        <w:autoSpaceDE/>
        <w:autoSpaceDN/>
        <w:ind w:firstLine="709"/>
        <w:jc w:val="both"/>
        <w:rPr>
          <w:rFonts w:eastAsia="Calibri"/>
          <w:lang w:eastAsia="en-US"/>
        </w:rPr>
      </w:pPr>
      <w:r w:rsidRPr="00F72BD1">
        <w:rPr>
          <w:rFonts w:eastAsia="Calibri"/>
          <w:lang w:eastAsia="en-US"/>
        </w:rPr>
        <w:t>подадуть (без заяв клієнтів) до органів Пенсійного фонду України/органів соціального захисту населення  перелік рахунків за стандартом IBAN;</w:t>
      </w:r>
    </w:p>
    <w:p w:rsidR="00F72BD1" w:rsidRPr="00F72BD1" w:rsidRDefault="00F72BD1" w:rsidP="00F72BD1">
      <w:pPr>
        <w:autoSpaceDE/>
        <w:autoSpaceDN/>
        <w:ind w:firstLine="709"/>
        <w:jc w:val="both"/>
        <w:rPr>
          <w:rFonts w:eastAsia="Calibri"/>
          <w:lang w:eastAsia="en-US"/>
        </w:rPr>
      </w:pPr>
      <w:r w:rsidRPr="00F72BD1">
        <w:rPr>
          <w:rFonts w:eastAsia="Calibri"/>
          <w:lang w:eastAsia="en-US"/>
        </w:rPr>
        <w:t>2) з 05 серпня 2019 року:</w:t>
      </w:r>
    </w:p>
    <w:p w:rsidR="00F72BD1" w:rsidRPr="00F72BD1" w:rsidRDefault="00F72BD1" w:rsidP="00F72BD1">
      <w:pPr>
        <w:autoSpaceDE/>
        <w:autoSpaceDN/>
        <w:ind w:firstLine="709"/>
        <w:jc w:val="both"/>
        <w:rPr>
          <w:rFonts w:eastAsia="Calibri"/>
          <w:lang w:eastAsia="en-US"/>
        </w:rPr>
      </w:pPr>
      <w:r w:rsidRPr="00F72BD1">
        <w:rPr>
          <w:rFonts w:eastAsia="Calibri"/>
          <w:lang w:eastAsia="en-US"/>
        </w:rPr>
        <w:t>відкриватимуть рахунки (поточні, вкладні (депозитні), рахунки умовного зберігання (ескроу)) відповідно до вимог стандарту IBAN;</w:t>
      </w:r>
    </w:p>
    <w:p w:rsidR="00F72BD1" w:rsidRPr="00F72BD1" w:rsidRDefault="00F72BD1" w:rsidP="00F72BD1">
      <w:pPr>
        <w:autoSpaceDE/>
        <w:autoSpaceDN/>
        <w:ind w:firstLine="709"/>
        <w:jc w:val="both"/>
        <w:rPr>
          <w:rFonts w:eastAsia="Calibri"/>
          <w:lang w:eastAsia="en-US"/>
        </w:rPr>
      </w:pPr>
      <w:r w:rsidRPr="00F72BD1">
        <w:rPr>
          <w:rFonts w:eastAsia="Calibri"/>
          <w:lang w:eastAsia="en-US"/>
        </w:rPr>
        <w:t>забезпечуватимуть формування виписки за рахунком клієнта від дати відкриття рахунку та суми вхідного залишку за діючим рахунком до зміни  рахунку за стандартом IBAN (“історія рахунку”), з подальшим підтвердженням операцій на будь-яку дату після  зміни діючого рахунку клієнта відповідно до стандарту IBAN;</w:t>
      </w:r>
    </w:p>
    <w:p w:rsidR="00A24F77" w:rsidRDefault="00F72BD1" w:rsidP="005D4796">
      <w:pPr>
        <w:autoSpaceDE/>
        <w:autoSpaceDN/>
        <w:ind w:firstLine="709"/>
        <w:jc w:val="both"/>
        <w:rPr>
          <w:b/>
          <w:sz w:val="22"/>
          <w:szCs w:val="22"/>
          <w:lang w:val="ru-RU"/>
        </w:rPr>
      </w:pPr>
      <w:r w:rsidRPr="00F72BD1">
        <w:rPr>
          <w:rFonts w:eastAsia="Calibri"/>
          <w:lang w:eastAsia="en-US"/>
        </w:rPr>
        <w:t>виконуватимуть документи на арешт коштів/примусове списання/стягнення коштів не залежно від номера рахунку, зазначеного в цих документах (діючий рахунок до зміни  за стандартом IBAN/за стандартом IBAN).</w:t>
      </w:r>
    </w:p>
    <w:p w:rsidR="005D4796" w:rsidRDefault="005D4796" w:rsidP="005D4796">
      <w:pPr>
        <w:autoSpaceDE/>
        <w:autoSpaceDN/>
        <w:ind w:firstLine="709"/>
        <w:jc w:val="both"/>
        <w:rPr>
          <w:b/>
          <w:sz w:val="22"/>
          <w:szCs w:val="22"/>
          <w:lang w:val="ru-RU"/>
        </w:rPr>
      </w:pPr>
    </w:p>
    <w:p w:rsidR="00D357D2" w:rsidRPr="00D96914" w:rsidRDefault="005D4796" w:rsidP="00D96914">
      <w:pPr>
        <w:autoSpaceDE/>
        <w:autoSpaceDN/>
        <w:ind w:firstLine="709"/>
        <w:jc w:val="both"/>
        <w:rPr>
          <w:i/>
          <w:sz w:val="22"/>
          <w:szCs w:val="22"/>
          <w:lang w:val="ru-RU"/>
        </w:rPr>
      </w:pPr>
      <w:r w:rsidRPr="005D4796">
        <w:rPr>
          <w:i/>
          <w:sz w:val="22"/>
          <w:szCs w:val="22"/>
          <w:lang w:val="ru-RU"/>
        </w:rPr>
        <w:t xml:space="preserve">За консультаціями звертайтесь до всіх </w:t>
      </w:r>
      <w:r w:rsidRPr="005851B3">
        <w:rPr>
          <w:i/>
          <w:color w:val="008080"/>
          <w:sz w:val="22"/>
          <w:szCs w:val="22"/>
          <w:u w:val="single"/>
          <w:lang w:val="ru-RU"/>
        </w:rPr>
        <w:t xml:space="preserve">відділень </w:t>
      </w:r>
      <w:r w:rsidR="005851B3" w:rsidRPr="005851B3">
        <w:rPr>
          <w:i/>
          <w:color w:val="008080"/>
          <w:sz w:val="22"/>
          <w:szCs w:val="22"/>
          <w:u w:val="single"/>
          <w:lang w:val="ru-RU"/>
        </w:rPr>
        <w:t>АТ "КІБ</w:t>
      </w:r>
      <w:r w:rsidR="005851B3">
        <w:rPr>
          <w:i/>
          <w:color w:val="008080"/>
          <w:sz w:val="22"/>
          <w:szCs w:val="22"/>
          <w:u w:val="single"/>
          <w:lang w:val="ru-RU"/>
        </w:rPr>
        <w:t xml:space="preserve">" </w:t>
      </w:r>
      <w:r w:rsidRPr="005D4796">
        <w:rPr>
          <w:i/>
          <w:sz w:val="22"/>
          <w:szCs w:val="22"/>
          <w:lang w:val="ru-RU"/>
        </w:rPr>
        <w:t xml:space="preserve"> </w:t>
      </w:r>
      <w:hyperlink r:id="rId6" w:history="1">
        <w:r w:rsidRPr="005D4796">
          <w:rPr>
            <w:rStyle w:val="a3"/>
            <w:i/>
          </w:rPr>
          <w:t>https://cib.com.ua/uk/atms/</w:t>
        </w:r>
      </w:hyperlink>
      <w:r w:rsidRPr="005D4796">
        <w:rPr>
          <w:i/>
        </w:rPr>
        <w:t xml:space="preserve"> або за телефонами контакт-центру Банку 0 800 501 200</w:t>
      </w:r>
      <w:r w:rsidR="00DC788E">
        <w:rPr>
          <w:i/>
        </w:rPr>
        <w:t xml:space="preserve"> (дзвінки безкоштовні у межах України)</w:t>
      </w:r>
      <w:r w:rsidR="00D96914">
        <w:rPr>
          <w:i/>
        </w:rPr>
        <w:t>.</w:t>
      </w:r>
    </w:p>
    <w:sectPr w:rsidR="00D357D2" w:rsidRPr="00D96914" w:rsidSect="005D4796">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gmatica">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6"/>
      <w:numFmt w:val="bullet"/>
      <w:lvlText w:val="-"/>
      <w:lvlJc w:val="left"/>
      <w:pPr>
        <w:tabs>
          <w:tab w:val="num" w:pos="0"/>
        </w:tabs>
        <w:ind w:left="1571" w:hanging="360"/>
      </w:pPr>
      <w:rPr>
        <w:rFonts w:ascii="OpenSymbol" w:hAnsi="OpenSymbol"/>
      </w:rPr>
    </w:lvl>
  </w:abstractNum>
  <w:abstractNum w:abstractNumId="1">
    <w:nsid w:val="22C354E0"/>
    <w:multiLevelType w:val="hybridMultilevel"/>
    <w:tmpl w:val="DFD8F2FC"/>
    <w:lvl w:ilvl="0" w:tplc="7B6EC646">
      <w:numFmt w:val="bullet"/>
      <w:lvlText w:val="-"/>
      <w:lvlJc w:val="left"/>
      <w:pPr>
        <w:ind w:left="720" w:hanging="360"/>
      </w:pPr>
      <w:rPr>
        <w:rFonts w:ascii="Trebuchet MS" w:eastAsia="Times New Roman" w:hAnsi="Trebuchet MS" w:cs="Helvetica"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E35C9B"/>
    <w:multiLevelType w:val="hybridMultilevel"/>
    <w:tmpl w:val="A852BCB0"/>
    <w:lvl w:ilvl="0" w:tplc="34FE6D04">
      <w:start w:val="5"/>
      <w:numFmt w:val="bullet"/>
      <w:lvlText w:val="-"/>
      <w:lvlJc w:val="left"/>
      <w:pPr>
        <w:ind w:left="644" w:hanging="360"/>
      </w:pPr>
      <w:rPr>
        <w:rFonts w:ascii="Pragmatica" w:eastAsia="Times New Roman" w:hAnsi="Pragmatica"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443F6CCD"/>
    <w:multiLevelType w:val="hybridMultilevel"/>
    <w:tmpl w:val="88A0DFB0"/>
    <w:lvl w:ilvl="0" w:tplc="535A1A4C">
      <w:start w:val="6"/>
      <w:numFmt w:val="bullet"/>
      <w:lvlText w:val="-"/>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nsid w:val="648F1845"/>
    <w:multiLevelType w:val="hybridMultilevel"/>
    <w:tmpl w:val="939C73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grammar="clean"/>
  <w:stylePaneFormatFilter w:val="3F01"/>
  <w:defaultTabStop w:val="708"/>
  <w:characterSpacingControl w:val="doNotCompress"/>
  <w:compat/>
  <w:rsids>
    <w:rsidRoot w:val="00A24F77"/>
    <w:rsid w:val="0000122A"/>
    <w:rsid w:val="0004569F"/>
    <w:rsid w:val="001026D8"/>
    <w:rsid w:val="00143C10"/>
    <w:rsid w:val="001475DF"/>
    <w:rsid w:val="00162A6B"/>
    <w:rsid w:val="001D2077"/>
    <w:rsid w:val="002140D8"/>
    <w:rsid w:val="00242A67"/>
    <w:rsid w:val="002440DC"/>
    <w:rsid w:val="00264112"/>
    <w:rsid w:val="002649E8"/>
    <w:rsid w:val="00274977"/>
    <w:rsid w:val="0028031E"/>
    <w:rsid w:val="002901E2"/>
    <w:rsid w:val="002D7D01"/>
    <w:rsid w:val="00305E8E"/>
    <w:rsid w:val="0031168F"/>
    <w:rsid w:val="003202FE"/>
    <w:rsid w:val="00354E32"/>
    <w:rsid w:val="0038386E"/>
    <w:rsid w:val="00385D03"/>
    <w:rsid w:val="003A6E06"/>
    <w:rsid w:val="003B7603"/>
    <w:rsid w:val="00411F6A"/>
    <w:rsid w:val="00430833"/>
    <w:rsid w:val="004E638F"/>
    <w:rsid w:val="004F4ADB"/>
    <w:rsid w:val="00575790"/>
    <w:rsid w:val="00577090"/>
    <w:rsid w:val="005851B3"/>
    <w:rsid w:val="005A11ED"/>
    <w:rsid w:val="005A2585"/>
    <w:rsid w:val="005C1E99"/>
    <w:rsid w:val="005C3D24"/>
    <w:rsid w:val="005D2B4C"/>
    <w:rsid w:val="005D4796"/>
    <w:rsid w:val="00627F60"/>
    <w:rsid w:val="00663F79"/>
    <w:rsid w:val="00681D5B"/>
    <w:rsid w:val="006B059C"/>
    <w:rsid w:val="00712C8E"/>
    <w:rsid w:val="0077256A"/>
    <w:rsid w:val="007E266C"/>
    <w:rsid w:val="007F6E64"/>
    <w:rsid w:val="008053BE"/>
    <w:rsid w:val="0081626A"/>
    <w:rsid w:val="0082799D"/>
    <w:rsid w:val="00886702"/>
    <w:rsid w:val="008D2F8C"/>
    <w:rsid w:val="00903BB7"/>
    <w:rsid w:val="00905F20"/>
    <w:rsid w:val="00921565"/>
    <w:rsid w:val="00926586"/>
    <w:rsid w:val="00932075"/>
    <w:rsid w:val="009670A0"/>
    <w:rsid w:val="00971C85"/>
    <w:rsid w:val="009D7081"/>
    <w:rsid w:val="00A210D1"/>
    <w:rsid w:val="00A24C39"/>
    <w:rsid w:val="00A24F77"/>
    <w:rsid w:val="00A4235C"/>
    <w:rsid w:val="00A67CE5"/>
    <w:rsid w:val="00A843BC"/>
    <w:rsid w:val="00A97F82"/>
    <w:rsid w:val="00AA4776"/>
    <w:rsid w:val="00B32B23"/>
    <w:rsid w:val="00B7111B"/>
    <w:rsid w:val="00B8795C"/>
    <w:rsid w:val="00B9734C"/>
    <w:rsid w:val="00C2512D"/>
    <w:rsid w:val="00C74044"/>
    <w:rsid w:val="00C85E17"/>
    <w:rsid w:val="00C91F4A"/>
    <w:rsid w:val="00CA3B01"/>
    <w:rsid w:val="00CA4D0E"/>
    <w:rsid w:val="00CA661D"/>
    <w:rsid w:val="00D14B3F"/>
    <w:rsid w:val="00D26C0F"/>
    <w:rsid w:val="00D357D2"/>
    <w:rsid w:val="00D41532"/>
    <w:rsid w:val="00D43468"/>
    <w:rsid w:val="00D440BC"/>
    <w:rsid w:val="00D6681F"/>
    <w:rsid w:val="00D87842"/>
    <w:rsid w:val="00D91CC2"/>
    <w:rsid w:val="00D92764"/>
    <w:rsid w:val="00D92C16"/>
    <w:rsid w:val="00D95BE7"/>
    <w:rsid w:val="00D96914"/>
    <w:rsid w:val="00DC788E"/>
    <w:rsid w:val="00DF13D4"/>
    <w:rsid w:val="00DF45B9"/>
    <w:rsid w:val="00E17B51"/>
    <w:rsid w:val="00E60627"/>
    <w:rsid w:val="00E72485"/>
    <w:rsid w:val="00E86851"/>
    <w:rsid w:val="00F16D4E"/>
    <w:rsid w:val="00F278E8"/>
    <w:rsid w:val="00F539E6"/>
    <w:rsid w:val="00F558A5"/>
    <w:rsid w:val="00F56CE4"/>
    <w:rsid w:val="00F72BD1"/>
    <w:rsid w:val="00F81B7B"/>
    <w:rsid w:val="00F979A5"/>
    <w:rsid w:val="00FD1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F77"/>
    <w:pPr>
      <w:autoSpaceDE w:val="0"/>
      <w:autoSpaceDN w:val="0"/>
    </w:pPr>
    <w:rPr>
      <w:sz w:val="24"/>
      <w:szCs w:val="24"/>
      <w:lang w:val="uk-UA"/>
    </w:rPr>
  </w:style>
  <w:style w:type="paragraph" w:styleId="1">
    <w:name w:val="heading 1"/>
    <w:basedOn w:val="a"/>
    <w:next w:val="a"/>
    <w:qFormat/>
    <w:rsid w:val="00B8795C"/>
    <w:pPr>
      <w:keepNext/>
      <w:widowControl w:val="0"/>
      <w:autoSpaceDE/>
      <w:autoSpaceDN/>
      <w:snapToGrid w:val="0"/>
      <w:spacing w:before="240" w:after="60" w:line="300" w:lineRule="auto"/>
      <w:outlineLvl w:val="0"/>
    </w:pPr>
    <w:rPr>
      <w:rFonts w:ascii="Arial" w:hAnsi="Arial" w:cs="Arial"/>
      <w:b/>
      <w:bCs/>
      <w:kern w:val="32"/>
      <w:sz w:val="32"/>
      <w:szCs w:val="3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24F77"/>
    <w:rPr>
      <w:color w:val="0000FF"/>
      <w:u w:val="single"/>
    </w:rPr>
  </w:style>
  <w:style w:type="character" w:customStyle="1" w:styleId="apple-converted-space">
    <w:name w:val="apple-converted-space"/>
    <w:basedOn w:val="a0"/>
    <w:rsid w:val="00A24F77"/>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rsid w:val="00D26C0F"/>
    <w:pPr>
      <w:autoSpaceDE/>
      <w:autoSpaceDN/>
      <w:spacing w:before="150" w:after="150"/>
    </w:pPr>
    <w:rPr>
      <w:lang w:val="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D26C0F"/>
    <w:rPr>
      <w:sz w:val="24"/>
      <w:szCs w:val="24"/>
      <w:lang w:val="ru-RU" w:eastAsia="ru-RU" w:bidi="ar-SA"/>
    </w:rPr>
  </w:style>
  <w:style w:type="character" w:styleId="a6">
    <w:name w:val="Strong"/>
    <w:qFormat/>
    <w:rsid w:val="00E86851"/>
    <w:rPr>
      <w:b/>
      <w:bCs/>
    </w:rPr>
  </w:style>
  <w:style w:type="paragraph" w:styleId="HTML">
    <w:name w:val="HTML Preformatted"/>
    <w:basedOn w:val="a"/>
    <w:rsid w:val="00A21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rPr>
  </w:style>
  <w:style w:type="paragraph" w:styleId="a7">
    <w:name w:val="List Paragraph"/>
    <w:basedOn w:val="a"/>
    <w:link w:val="a8"/>
    <w:uiPriority w:val="34"/>
    <w:qFormat/>
    <w:rsid w:val="0031168F"/>
    <w:pPr>
      <w:autoSpaceDE/>
      <w:autoSpaceDN/>
      <w:ind w:left="720"/>
      <w:contextualSpacing/>
    </w:pPr>
    <w:rPr>
      <w:lang w:val="ru-RU"/>
    </w:rPr>
  </w:style>
  <w:style w:type="character" w:customStyle="1" w:styleId="a8">
    <w:name w:val="Абзац списка Знак"/>
    <w:link w:val="a7"/>
    <w:uiPriority w:val="34"/>
    <w:locked/>
    <w:rsid w:val="0031168F"/>
    <w:rPr>
      <w:sz w:val="24"/>
      <w:szCs w:val="24"/>
    </w:rPr>
  </w:style>
  <w:style w:type="paragraph" w:styleId="a9">
    <w:name w:val="Balloon Text"/>
    <w:basedOn w:val="a"/>
    <w:link w:val="aa"/>
    <w:rsid w:val="00D92764"/>
    <w:rPr>
      <w:rFonts w:ascii="Segoe UI" w:hAnsi="Segoe UI" w:cs="Segoe UI"/>
      <w:sz w:val="18"/>
      <w:szCs w:val="18"/>
    </w:rPr>
  </w:style>
  <w:style w:type="character" w:customStyle="1" w:styleId="aa">
    <w:name w:val="Текст выноски Знак"/>
    <w:link w:val="a9"/>
    <w:rsid w:val="00D92764"/>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129328915">
      <w:bodyDiv w:val="1"/>
      <w:marLeft w:val="0"/>
      <w:marRight w:val="0"/>
      <w:marTop w:val="0"/>
      <w:marBottom w:val="0"/>
      <w:divBdr>
        <w:top w:val="none" w:sz="0" w:space="0" w:color="auto"/>
        <w:left w:val="none" w:sz="0" w:space="0" w:color="auto"/>
        <w:bottom w:val="none" w:sz="0" w:space="0" w:color="auto"/>
        <w:right w:val="none" w:sz="0" w:space="0" w:color="auto"/>
      </w:divBdr>
    </w:div>
    <w:div w:id="644817550">
      <w:bodyDiv w:val="1"/>
      <w:marLeft w:val="0"/>
      <w:marRight w:val="0"/>
      <w:marTop w:val="0"/>
      <w:marBottom w:val="0"/>
      <w:divBdr>
        <w:top w:val="none" w:sz="0" w:space="0" w:color="auto"/>
        <w:left w:val="none" w:sz="0" w:space="0" w:color="auto"/>
        <w:bottom w:val="none" w:sz="0" w:space="0" w:color="auto"/>
        <w:right w:val="none" w:sz="0" w:space="0" w:color="auto"/>
      </w:divBdr>
    </w:div>
    <w:div w:id="1451969787">
      <w:bodyDiv w:val="1"/>
      <w:marLeft w:val="0"/>
      <w:marRight w:val="0"/>
      <w:marTop w:val="0"/>
      <w:marBottom w:val="0"/>
      <w:divBdr>
        <w:top w:val="none" w:sz="0" w:space="0" w:color="auto"/>
        <w:left w:val="none" w:sz="0" w:space="0" w:color="auto"/>
        <w:bottom w:val="none" w:sz="0" w:space="0" w:color="auto"/>
        <w:right w:val="none" w:sz="0" w:space="0" w:color="auto"/>
      </w:divBdr>
    </w:div>
    <w:div w:id="16850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b.com.ua/uk/at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2823</CharactersWithSpaces>
  <SharedDoc>false</SharedDoc>
  <HLinks>
    <vt:vector size="6" baseType="variant">
      <vt:variant>
        <vt:i4>2818162</vt:i4>
      </vt:variant>
      <vt:variant>
        <vt:i4>0</vt:i4>
      </vt:variant>
      <vt:variant>
        <vt:i4>0</vt:i4>
      </vt:variant>
      <vt:variant>
        <vt:i4>5</vt:i4>
      </vt:variant>
      <vt:variant>
        <vt:lpwstr>https://cib.com.ua/uk/atms/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edmytrenko</dc:creator>
  <cp:lastModifiedBy>Kate</cp:lastModifiedBy>
  <cp:revision>2</cp:revision>
  <cp:lastPrinted>2018-08-14T12:51:00Z</cp:lastPrinted>
  <dcterms:created xsi:type="dcterms:W3CDTF">2019-04-12T10:11:00Z</dcterms:created>
  <dcterms:modified xsi:type="dcterms:W3CDTF">2019-04-12T10:11:00Z</dcterms:modified>
</cp:coreProperties>
</file>